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FD8" w:rsidRPr="00336FD8" w:rsidRDefault="00336FD8" w:rsidP="00336FD8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36FD8" w:rsidRPr="00336FD8" w:rsidRDefault="00336FD8" w:rsidP="00336FD8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                                                        Иркутская  область </w:t>
      </w:r>
    </w:p>
    <w:p w:rsidR="00336FD8" w:rsidRPr="00336FD8" w:rsidRDefault="00336FD8" w:rsidP="00336FD8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336FD8" w:rsidRPr="00336FD8" w:rsidRDefault="00336FD8" w:rsidP="00336FD8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     АДМИНИСТРАЦИЯ</w:t>
      </w:r>
    </w:p>
    <w:p w:rsidR="00336FD8" w:rsidRPr="00336FD8" w:rsidRDefault="00336FD8" w:rsidP="00336FD8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336FD8" w:rsidRPr="00336FD8" w:rsidRDefault="00336FD8" w:rsidP="00336FD8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36FD8" w:rsidRPr="00336FD8" w:rsidRDefault="00336FD8" w:rsidP="00336FD8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6FD8" w:rsidRPr="00336FD8" w:rsidRDefault="00003F64" w:rsidP="00336FD8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336FD8" w:rsidRPr="00336FD8" w:rsidRDefault="00336FD8" w:rsidP="00336FD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 w:rsidR="00AE400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06.07.</w:t>
      </w:r>
      <w:r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2015г.                                                    </w:t>
      </w:r>
      <w:r w:rsidRPr="00336FD8">
        <w:rPr>
          <w:rFonts w:ascii="Times New Roman" w:eastAsia="Times New Roman" w:hAnsi="Times New Roman" w:cs="Times New Roman"/>
          <w:color w:val="323232"/>
          <w:sz w:val="28"/>
          <w:szCs w:val="28"/>
        </w:rPr>
        <w:tab/>
        <w:t xml:space="preserve">                   №</w:t>
      </w:r>
      <w:r w:rsidR="00AE4004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bookmarkStart w:id="0" w:name="_GoBack"/>
      <w:bookmarkEnd w:id="0"/>
      <w:r w:rsidR="00AE4004">
        <w:rPr>
          <w:rFonts w:ascii="Times New Roman" w:eastAsia="Times New Roman" w:hAnsi="Times New Roman" w:cs="Times New Roman"/>
          <w:color w:val="323232"/>
          <w:sz w:val="28"/>
          <w:szCs w:val="28"/>
        </w:rPr>
        <w:t>141</w:t>
      </w:r>
      <w:r w:rsidRPr="00336FD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</w:p>
    <w:p w:rsidR="00336FD8" w:rsidRPr="00336FD8" w:rsidRDefault="00336FD8" w:rsidP="00336FD8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п. </w:t>
      </w:r>
      <w:r w:rsidRPr="00336FD8">
        <w:rPr>
          <w:rFonts w:ascii="Times New Roman" w:eastAsia="Times New Roman" w:hAnsi="Times New Roman" w:cs="Times New Roman"/>
          <w:spacing w:val="-4"/>
          <w:sz w:val="28"/>
          <w:szCs w:val="28"/>
        </w:rPr>
        <w:t>Новомальтинск</w:t>
      </w: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 </w:t>
      </w:r>
    </w:p>
    <w:p w:rsidR="00336FD8" w:rsidRPr="00336FD8" w:rsidRDefault="00336FD8" w:rsidP="00336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ourier New"/>
          <w:sz w:val="24"/>
          <w:szCs w:val="24"/>
        </w:rPr>
      </w:pPr>
    </w:p>
    <w:p w:rsidR="00A2045C" w:rsidRPr="00336FD8" w:rsidRDefault="00A2045C" w:rsidP="00A2045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</w:pPr>
      <w:r w:rsidRPr="00336FD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  <w:t xml:space="preserve">Об утверждении Порядка расчета налогового и неналогового потенциала бюджета </w:t>
      </w:r>
      <w:r w:rsidR="00336FD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  <w:t>сельского поселения Новомальтинского муниципального образования</w:t>
      </w:r>
    </w:p>
    <w:p w:rsidR="00336FD8" w:rsidRPr="00481C6B" w:rsidRDefault="00A2045C" w:rsidP="00481C6B">
      <w:pPr>
        <w:pStyle w:val="ConsNormal"/>
        <w:widowControl/>
        <w:spacing w:line="0" w:lineRule="atLeast"/>
        <w:ind w:left="540" w:right="0" w:firstLine="0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A2045C">
        <w:rPr>
          <w:color w:val="3C3C3C"/>
          <w:spacing w:val="2"/>
          <w:sz w:val="31"/>
          <w:szCs w:val="31"/>
          <w:lang w:eastAsia="ru-RU"/>
        </w:rPr>
        <w:br/>
      </w:r>
      <w:r w:rsidR="00336FD8" w:rsidRPr="00481C6B">
        <w:rPr>
          <w:rFonts w:ascii="Times New Roman" w:hAnsi="Times New Roman" w:cs="Times New Roman"/>
          <w:spacing w:val="2"/>
          <w:sz w:val="28"/>
          <w:szCs w:val="28"/>
          <w:lang w:eastAsia="ru-RU"/>
        </w:rPr>
        <w:t>В целях реализации полномочий администрации сельского поселения</w:t>
      </w:r>
    </w:p>
    <w:p w:rsidR="00003F64" w:rsidRDefault="00336FD8" w:rsidP="00481C6B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1C6B">
        <w:rPr>
          <w:rFonts w:ascii="Times New Roman" w:hAnsi="Times New Roman" w:cs="Times New Roman"/>
          <w:spacing w:val="2"/>
          <w:sz w:val="28"/>
          <w:szCs w:val="28"/>
          <w:lang w:eastAsia="ru-RU"/>
        </w:rPr>
        <w:t>Новомальтинского муниципального в области планирования бюджета, финансов.</w:t>
      </w:r>
      <w:r w:rsidRPr="00481C6B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proofErr w:type="gramStart"/>
      <w:r w:rsidRPr="00481C6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81C6B">
        <w:rPr>
          <w:rFonts w:ascii="Times New Roman" w:hAnsi="Times New Roman" w:cs="Times New Roman"/>
          <w:sz w:val="28"/>
          <w:szCs w:val="28"/>
        </w:rPr>
        <w:t xml:space="preserve"> Бюджетным кодексом Российской Федерации, руководствуясь  ст.46,58  Устава Новомальтинского муниципального образования</w:t>
      </w:r>
      <w:r w:rsidR="00003F64">
        <w:rPr>
          <w:rFonts w:ascii="Times New Roman" w:hAnsi="Times New Roman" w:cs="Times New Roman"/>
          <w:sz w:val="28"/>
          <w:szCs w:val="28"/>
        </w:rPr>
        <w:t>, администрация сельского поселения Новомальтинского муниципального образования</w:t>
      </w:r>
      <w:r w:rsidR="00724827">
        <w:rPr>
          <w:rFonts w:ascii="Times New Roman" w:hAnsi="Times New Roman" w:cs="Times New Roman"/>
          <w:sz w:val="28"/>
          <w:szCs w:val="28"/>
        </w:rPr>
        <w:t>,</w:t>
      </w:r>
    </w:p>
    <w:p w:rsidR="00336FD8" w:rsidRPr="00481C6B" w:rsidRDefault="00003F64" w:rsidP="00481C6B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 w:rsidR="00336FD8" w:rsidRPr="00481C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827" w:rsidRDefault="00A2045C" w:rsidP="00724827">
      <w:pPr>
        <w:pStyle w:val="a5"/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>1.Утвердить </w:t>
      </w:r>
      <w:hyperlink r:id="rId5" w:history="1">
        <w:r w:rsidRPr="009F0F17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Порядок расчета налогового и неналогового потенциала бюджета </w:t>
        </w:r>
        <w:r w:rsidR="00336FD8" w:rsidRPr="009F0F17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сельского поселения Новомальтинского муниципального образования </w:t>
        </w:r>
        <w:r w:rsidRPr="009F0F17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на очередной финансовый год и плановый период</w:t>
        </w:r>
      </w:hyperlink>
      <w:r w:rsidR="00724827">
        <w:rPr>
          <w:rFonts w:ascii="Times New Roman" w:hAnsi="Times New Roman"/>
          <w:spacing w:val="2"/>
          <w:sz w:val="28"/>
          <w:szCs w:val="28"/>
          <w:lang w:eastAsia="ru-RU"/>
        </w:rPr>
        <w:t xml:space="preserve"> (прилагается)</w:t>
      </w:r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> </w:t>
      </w:r>
    </w:p>
    <w:p w:rsidR="00E60D65" w:rsidRDefault="00A2045C" w:rsidP="00E60D65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>2.</w:t>
      </w:r>
      <w:r w:rsidR="00336FD8" w:rsidRPr="009F0F17">
        <w:rPr>
          <w:rFonts w:ascii="Times New Roman" w:hAnsi="Times New Roman"/>
          <w:spacing w:val="2"/>
          <w:sz w:val="28"/>
          <w:szCs w:val="28"/>
          <w:lang w:eastAsia="ru-RU"/>
        </w:rPr>
        <w:t>Ведущему специалисту по экономической</w:t>
      </w:r>
      <w:r w:rsidR="00336FD8" w:rsidRPr="00481C6B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политике, ведущему специалисту по имуществу и землепользованию предоставлять </w:t>
      </w:r>
      <w:r w:rsidRPr="00481C6B">
        <w:rPr>
          <w:rFonts w:ascii="Times New Roman" w:hAnsi="Times New Roman"/>
          <w:spacing w:val="2"/>
          <w:sz w:val="28"/>
          <w:szCs w:val="28"/>
          <w:lang w:eastAsia="ru-RU"/>
        </w:rPr>
        <w:t>данн</w:t>
      </w:r>
      <w:r w:rsidR="00336FD8" w:rsidRPr="00481C6B">
        <w:rPr>
          <w:rFonts w:ascii="Times New Roman" w:hAnsi="Times New Roman"/>
          <w:spacing w:val="2"/>
          <w:sz w:val="28"/>
          <w:szCs w:val="28"/>
          <w:lang w:eastAsia="ru-RU"/>
        </w:rPr>
        <w:t>ые</w:t>
      </w:r>
      <w:r w:rsidRPr="00481C6B">
        <w:rPr>
          <w:rFonts w:ascii="Times New Roman" w:hAnsi="Times New Roman"/>
          <w:spacing w:val="2"/>
          <w:sz w:val="28"/>
          <w:szCs w:val="28"/>
          <w:lang w:eastAsia="ru-RU"/>
        </w:rPr>
        <w:t xml:space="preserve">, необходимых для составления проекта бюджета </w:t>
      </w:r>
      <w:r w:rsidR="00336FD8" w:rsidRPr="00481C6B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Pr="00481C6B">
        <w:rPr>
          <w:rFonts w:ascii="Times New Roman" w:hAnsi="Times New Roman"/>
          <w:spacing w:val="2"/>
          <w:sz w:val="28"/>
          <w:szCs w:val="28"/>
          <w:lang w:eastAsia="ru-RU"/>
        </w:rPr>
        <w:t xml:space="preserve">, согласно утвержденному Порядку, в сроки, ежегодно устанавливаемые мероприятиями о разработке проекта бюджета на очередной финансовый год и плановый </w:t>
      </w:r>
      <w:r w:rsidRPr="00481C6B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период.</w:t>
      </w:r>
      <w:r w:rsidRPr="00481C6B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481C6B" w:rsidRPr="009F0F17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</w:t>
      </w:r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>3.</w:t>
      </w:r>
      <w:r w:rsidR="00481C6B" w:rsidRPr="009F0F17">
        <w:rPr>
          <w:rFonts w:ascii="Times New Roman" w:hAnsi="Times New Roman"/>
          <w:spacing w:val="2"/>
          <w:sz w:val="28"/>
          <w:szCs w:val="28"/>
          <w:lang w:eastAsia="ru-RU"/>
        </w:rPr>
        <w:t>Ведущему специалисту по финансово-бюджетной политике</w:t>
      </w:r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обеспечить составление проекта доходной части бюджета, за исключением безвозмездных поступлений, в</w:t>
      </w:r>
      <w:proofErr w:type="gramEnd"/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>соответствии</w:t>
      </w:r>
      <w:proofErr w:type="gramEnd"/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t xml:space="preserve"> с данным Порядком.</w:t>
      </w:r>
      <w:r w:rsidRPr="009F0F17">
        <w:rPr>
          <w:rFonts w:ascii="Times New Roman" w:hAnsi="Times New Roman"/>
          <w:spacing w:val="2"/>
          <w:sz w:val="28"/>
          <w:szCs w:val="28"/>
          <w:lang w:eastAsia="ru-RU"/>
        </w:rPr>
        <w:br/>
      </w:r>
      <w:r w:rsidR="00481C6B" w:rsidRPr="009F0F17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</w:t>
      </w:r>
      <w:r w:rsidR="00E60D65">
        <w:rPr>
          <w:sz w:val="28"/>
          <w:szCs w:val="28"/>
        </w:rPr>
        <w:t xml:space="preserve">  4</w:t>
      </w:r>
      <w:r w:rsidR="00E60D65">
        <w:rPr>
          <w:rFonts w:ascii="Times New Roman" w:hAnsi="Times New Roman"/>
          <w:sz w:val="28"/>
          <w:szCs w:val="28"/>
        </w:rPr>
        <w:t>.Опубликовать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E60D65" w:rsidRDefault="00E60D65" w:rsidP="00E60D65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5.Настоящее постановление вступает в силу со дня его официального опубликования.</w:t>
      </w:r>
    </w:p>
    <w:p w:rsidR="00481C6B" w:rsidRPr="009F0F17" w:rsidRDefault="00481C6B" w:rsidP="00481C6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1C6B" w:rsidRDefault="00481C6B" w:rsidP="00A2045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481C6B" w:rsidRDefault="00481C6B" w:rsidP="00481C6B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81C6B" w:rsidRDefault="00481C6B" w:rsidP="00481C6B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481C6B" w:rsidRPr="00EC40F4" w:rsidRDefault="00481C6B" w:rsidP="00481C6B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Ю.В.Нефедьев</w:t>
      </w:r>
      <w:proofErr w:type="spellEnd"/>
    </w:p>
    <w:p w:rsidR="00481C6B" w:rsidRPr="00EC40F4" w:rsidRDefault="00481C6B" w:rsidP="00481C6B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</w:p>
    <w:p w:rsidR="001B5B5C" w:rsidRDefault="001B5B5C" w:rsidP="00481C6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1B5B5C" w:rsidRDefault="001B5B5C" w:rsidP="00481C6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1B5B5C" w:rsidRDefault="001B5B5C" w:rsidP="00481C6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481C6B" w:rsidRPr="00481C6B" w:rsidRDefault="009C62DE" w:rsidP="00481C6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УТВЕРЖДЕН</w:t>
      </w:r>
      <w:r w:rsidR="00481C6B" w:rsidRPr="00481C6B">
        <w:rPr>
          <w:rFonts w:ascii="Times New Roman" w:eastAsia="Times New Roman" w:hAnsi="Times New Roman" w:cs="Arial"/>
          <w:sz w:val="28"/>
          <w:szCs w:val="28"/>
        </w:rPr>
        <w:t>:</w:t>
      </w:r>
    </w:p>
    <w:p w:rsidR="00481C6B" w:rsidRPr="00481C6B" w:rsidRDefault="009C62DE" w:rsidP="00481C6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п</w:t>
      </w:r>
      <w:r w:rsidR="00003F64">
        <w:rPr>
          <w:rFonts w:ascii="Times New Roman" w:eastAsia="Times New Roman" w:hAnsi="Times New Roman" w:cs="Arial"/>
          <w:sz w:val="28"/>
          <w:szCs w:val="28"/>
        </w:rPr>
        <w:t>остановлением</w:t>
      </w:r>
    </w:p>
    <w:p w:rsidR="00481C6B" w:rsidRPr="00481C6B" w:rsidRDefault="00003F64" w:rsidP="00481C6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администрации</w:t>
      </w:r>
      <w:r w:rsidR="00481C6B" w:rsidRPr="00481C6B">
        <w:rPr>
          <w:rFonts w:ascii="Times New Roman" w:eastAsia="Times New Roman" w:hAnsi="Times New Roman" w:cs="Arial"/>
          <w:sz w:val="28"/>
          <w:szCs w:val="28"/>
        </w:rPr>
        <w:t xml:space="preserve"> сельского поселения Новомальтинского </w:t>
      </w:r>
    </w:p>
    <w:p w:rsidR="00481C6B" w:rsidRPr="00481C6B" w:rsidRDefault="00481C6B" w:rsidP="00481C6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 w:rsidRPr="00481C6B">
        <w:rPr>
          <w:rFonts w:ascii="Times New Roman" w:eastAsia="Times New Roman" w:hAnsi="Times New Roman" w:cs="Arial"/>
          <w:sz w:val="28"/>
          <w:szCs w:val="28"/>
        </w:rPr>
        <w:t>муниципального образования</w:t>
      </w:r>
    </w:p>
    <w:p w:rsidR="00A2045C" w:rsidRPr="00A2045C" w:rsidRDefault="00481C6B" w:rsidP="00481C6B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481C6B">
        <w:rPr>
          <w:rFonts w:ascii="Times New Roman" w:eastAsia="Times New Roman" w:hAnsi="Times New Roman" w:cs="Times New Roman"/>
          <w:sz w:val="28"/>
          <w:szCs w:val="28"/>
        </w:rPr>
        <w:t>от «___»________2015 г. № __</w:t>
      </w:r>
    </w:p>
    <w:p w:rsidR="00A2045C" w:rsidRPr="00A2045C" w:rsidRDefault="00A2045C" w:rsidP="00A2045C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2045C" w:rsidRPr="00F20BB2" w:rsidRDefault="00A2045C" w:rsidP="00F20BB2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F20BB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ПОРЯДОК</w:t>
      </w:r>
      <w:r w:rsidRPr="00F20BB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br/>
        <w:t xml:space="preserve">расчета налогового и неналогового потенциала бюджета </w:t>
      </w:r>
      <w:r w:rsidR="00F20BB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Pr="00F20BB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на очередной финансовый год и плановый период</w:t>
      </w:r>
    </w:p>
    <w:p w:rsidR="00A2045C" w:rsidRPr="00481C6B" w:rsidRDefault="00A2045C" w:rsidP="00F20BB2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  <w:t>1. Общие положения</w:t>
      </w:r>
    </w:p>
    <w:p w:rsidR="00C821C8" w:rsidRDefault="00C821C8" w:rsidP="00C821C8">
      <w:pPr>
        <w:shd w:val="clear" w:color="auto" w:fill="FFFFFF"/>
        <w:spacing w:after="0" w:line="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1.1.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Настоящий Порядок </w:t>
      </w:r>
      <w:r w:rsidR="009C62DE" w:rsidRPr="009C62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расчета налогового и неналогового потенциала бюджета сельского поселения Новомальтинского муниципального образования на очередной финансовый год и плановый период</w:t>
      </w:r>
      <w:r w:rsidR="009C62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(дале</w:t>
      </w:r>
      <w:proofErr w:type="gramStart"/>
      <w:r w:rsidR="009C62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е-</w:t>
      </w:r>
      <w:proofErr w:type="gramEnd"/>
      <w:r w:rsidR="009C62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Порядок)</w:t>
      </w:r>
      <w:r w:rsidR="009C62DE" w:rsidRPr="009C62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разработан в целях реализации полномочий </w:t>
      </w:r>
      <w:r w:rsidR="00F20B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дминистрации </w:t>
      </w:r>
      <w:r w:rsidR="00F20B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области планирования бюджета, финансов, а также в целях определения регламента взаимодействия органов </w:t>
      </w:r>
      <w:r w:rsidR="00F20B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дминистрации </w:t>
      </w:r>
      <w:r w:rsidR="00F20B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="00F20BB2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этой области на территории </w:t>
      </w:r>
      <w:r w:rsidR="00F20B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1.2.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Определить, что данный Пор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ядок ориентирован на разработку</w:t>
      </w:r>
    </w:p>
    <w:p w:rsidR="00A2045C" w:rsidRPr="00481C6B" w:rsidRDefault="00A2045C" w:rsidP="00C821C8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реальных проектировок поступлений доходов по отдельным подгруппам, статьям и подстатьям с целью обеспечения сбалансированности бюджета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Технология прогнозирования выбрана с учетом доступности исходных данных. 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Исходя из этого порядок прогнозирования доходов основан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на следующих методах: эконометрическом, методе прямого счета и методе временного тренда.</w:t>
      </w:r>
    </w:p>
    <w:p w:rsidR="003F4AC2" w:rsidRDefault="003F4AC2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2045C" w:rsidRPr="00481C6B" w:rsidRDefault="00A2045C" w:rsidP="003F4AC2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2. Расчет налогового и неналогового потенциала</w:t>
      </w:r>
    </w:p>
    <w:p w:rsidR="00A2045C" w:rsidRPr="00481C6B" w:rsidRDefault="003F4AC2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2.1. Оценка налогового потенциала по налогу на доходы физических лиц.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налогу на доходы физических лиц (НДФЛ) на очередной финансовый год и плановый период производится по формуле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2045C"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38B5139" wp14:editId="62B7A975">
            <wp:extent cx="5143500" cy="257175"/>
            <wp:effectExtent l="0" t="0" r="0" b="9525"/>
            <wp:docPr id="1" name="Рисунок 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</w:p>
    <w:p w:rsidR="001B5B5C" w:rsidRDefault="00A2045C" w:rsidP="001B5B5C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AECDEB9" wp14:editId="2C29244B">
            <wp:extent cx="695325" cy="219075"/>
            <wp:effectExtent l="0" t="0" r="9525" b="9525"/>
            <wp:docPr id="2" name="Рисунок 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оценка налогового потенциала по налогу на доходы физических лиц с доходов, облагаемых по налоговой ставке, установленной </w:t>
      </w:r>
      <w:hyperlink r:id="rId8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пунктом 1 статьи 224 Налогового кодекса Российской Федерации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за исключением доходов, полученных физическими лицами, зарегистрированными в качестве индивидуальных предпринимателей, частных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нотариусов и других лиц, занимающихся частной практикой;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16216DB" wp14:editId="6B139F94">
            <wp:extent cx="504825" cy="219075"/>
            <wp:effectExtent l="0" t="0" r="9525" b="9525"/>
            <wp:docPr id="3" name="Рисунок 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- оценка налогового потенциала по налогу на доходы физических лиц с доходов, полученных в виде дивидендов от долевого участия 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A2045C" w:rsidRPr="00481C6B" w:rsidRDefault="00A2045C" w:rsidP="001B5B5C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деятельности организаций;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52FD2CB" wp14:editId="56B69E6B">
            <wp:extent cx="676275" cy="228600"/>
            <wp:effectExtent l="0" t="0" r="9525" b="0"/>
            <wp:docPr id="4" name="Рисунок 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оценка налогового потенциала по налогу на доходы физических лиц с доходов, облагаемых по налоговой ставке, установленной </w:t>
      </w:r>
      <w:hyperlink r:id="rId11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пунктом 1 статьи 224 Налогового кодекса Российской Федерации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практикой;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6E8658F" wp14:editId="0C8CEE01">
            <wp:extent cx="514350" cy="228600"/>
            <wp:effectExtent l="0" t="0" r="0" b="0"/>
            <wp:docPr id="5" name="Рисунок 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оценка налогового потенциала по налогу на доходы физических лиц с доходов, полученных физическими лицами, не являющимися налоговыми резидентами Российской Федерации; 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59341AE" wp14:editId="4D4B7538">
            <wp:extent cx="542925" cy="228600"/>
            <wp:effectExtent l="0" t="0" r="9525" b="0"/>
            <wp:docPr id="6" name="Рисунок 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оценка налогового потенциала по налогу на доходы физических лиц с доходов, полученных в виде выигрышей и призов в проводимых конкурсах, играх и других мероприятиях в целях рекламы товаров, работ и услуг, страховых выплат по договорам добровольного страхования жизни, заключенным на срок менее 5 лет, в части превышения сумм страховых взносов, увеличенных на сумму, рассчитанную исходя из действующей ставки рефинансирования, процентных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доходов по вкладам в банках (за исключением срочных пенсионных вкладов, внесенных на срок не менее 6 месяцев), в виде материальной выгоды от экономии на процентах при получении заемных (кредитных) средств (за исключением материальной выгоды, полученной от экономии на процентах за пользование целевыми займами (кредитами) на новое строительство и приобретение жилья);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2DCCA58" wp14:editId="4B4B8C7A">
            <wp:extent cx="571500" cy="209550"/>
            <wp:effectExtent l="0" t="0" r="0" b="0"/>
            <wp:docPr id="7" name="Рисунок 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оценка налогового потенциала по налогу на доходы физических лиц с доходов, полученных в виде процентов по облигациям с ипотечным покрытием, эмитированным до 1 января 2007 года, а также с доходов учредителей доверительного управления ипотечным покрытием, полученных на основании приобретения ипотечных сертификатов участия, выданных управляющим ипотечным покрытием до 1 января 2007 года.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C58FD7D" wp14:editId="6D015DBA">
            <wp:extent cx="695325" cy="219075"/>
            <wp:effectExtent l="0" t="0" r="9525" b="9525"/>
            <wp:docPr id="8" name="Рисунок 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производится эконометрическим методом с применением средней репрезентативной налоговой ставки в качестве статистического индикатора по формуле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494F9B5" wp14:editId="523C7616">
            <wp:extent cx="3619500" cy="219075"/>
            <wp:effectExtent l="0" t="0" r="0" b="9525"/>
            <wp:docPr id="9" name="Рисунок 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48B01F5" wp14:editId="13D6F749">
            <wp:extent cx="600075" cy="190500"/>
            <wp:effectExtent l="0" t="0" r="9525" b="0"/>
            <wp:docPr id="10" name="Рисунок 1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прогноз налоговой базы - фонда оплаты труда - на очередной финансовый год и плановый период (осуществляется отделом по труду Департамента экономики);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8D978EC" wp14:editId="0A00C191">
            <wp:extent cx="447675" cy="180975"/>
            <wp:effectExtent l="0" t="0" r="9525" b="9525"/>
            <wp:docPr id="11" name="Рисунок 1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коэффициент, учитывающий изменение налогового законодательства в части величины доходов, не подлежащих налогообложению, стандартных, социальных и и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мущественных налоговых вычетов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 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 - норматив отчислений налога на доходы физических лиц в бюджет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5A0E8442" wp14:editId="79F4B4BC">
            <wp:extent cx="476250" cy="219075"/>
            <wp:effectExtent l="0" t="0" r="0" b="9525"/>
            <wp:docPr id="12" name="Рисунок 1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средняя репрезентативная налоговая ставка в процентах определяется по формуле (данная формула применяется и при расчете других налогов)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BC68B8E" wp14:editId="4AE498C8">
            <wp:extent cx="5676900" cy="190500"/>
            <wp:effectExtent l="0" t="0" r="0" b="0"/>
            <wp:docPr id="13" name="Рисунок 1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3F4AC2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EC61476" wp14:editId="500BCA9C">
            <wp:extent cx="409575" cy="180975"/>
            <wp:effectExtent l="0" t="0" r="9525" b="9525"/>
            <wp:docPr id="14" name="Рисунок 1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F68910B" wp14:editId="1991530D">
            <wp:extent cx="409575" cy="180975"/>
            <wp:effectExtent l="0" t="0" r="9525" b="9525"/>
            <wp:docPr id="15" name="Рисунок 1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 - фактические поступления налога на доходы физических лиц в бюджет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сельского поселения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 два года до последнего отчетного финансового года и за последний отчетный финансовый год (н - последний отчетный финансовый год) по графе "Поступило во все уровни бюджетной системы РФ" по данным информационного ресурса "Расчеты с бюджетом", предоставленного Управлением Федеральной налоговой службы Российской Федерации по Ростовской области по территории города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соответствии с приказом Минфина РФ N 28н *;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72BDD88" wp14:editId="68DE9301">
            <wp:extent cx="419100" cy="180975"/>
            <wp:effectExtent l="0" t="0" r="0" b="9525"/>
            <wp:docPr id="16" name="Рисунок 1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DBA7D15" wp14:editId="365D61CD">
            <wp:extent cx="419100" cy="180975"/>
            <wp:effectExtent l="0" t="0" r="0" b="9525"/>
            <wp:docPr id="17" name="Рисунок 1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 - фактическая налоговая база - фонд оплаты труда за два года до последнего отчетного финансового года и за последний отчетный финансовый год (н - последний отчетный финансовый год),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дминистрации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Кроме того, для повышения точности прогноза в расчете применены следующие коэффициенты: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0,45 - для корректировки влияния последнего отчетного финансового года;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0,30 - для корректировки влияния года, предшествующего последнему отчетному финансовому году;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0,25 - для корректировки влияния года, за два года до последнего отчетного финансового года.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Использование данных коэффициентов вызвано тем, что влияние более удаленного (0,25) от проектируемого года менее значительно, чем более близкого (0,45).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прогноза поступлений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77DC0C7" wp14:editId="6E595AD2">
            <wp:extent cx="504825" cy="219075"/>
            <wp:effectExtent l="0" t="0" r="9525" b="9525"/>
            <wp:docPr id="18" name="Рисунок 1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4FE23E5" wp14:editId="54B400E6">
            <wp:extent cx="676275" cy="228600"/>
            <wp:effectExtent l="0" t="0" r="9525" b="0"/>
            <wp:docPr id="19" name="Рисунок 1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8936960" wp14:editId="6A3E37FA">
            <wp:extent cx="514350" cy="228600"/>
            <wp:effectExtent l="0" t="0" r="0" b="0"/>
            <wp:docPr id="20" name="Рисунок 2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FF6632F" wp14:editId="5A47FB75">
            <wp:extent cx="542925" cy="228600"/>
            <wp:effectExtent l="0" t="0" r="9525" b="0"/>
            <wp:docPr id="21" name="Рисунок 2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6869B3C" wp14:editId="44FE1D92">
            <wp:extent cx="571500" cy="209550"/>
            <wp:effectExtent l="0" t="0" r="0" b="0"/>
            <wp:docPr id="22" name="Рисунок 2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на очередной финансовый год и плановый период определяется методом временного тренда на основе мониторинга поступлений налога в бюджет городского округа отдельно по каждой подстатье доходов за два года до последнего отчетного финансового года и за последний отчетный финансовый год в сопоставимых условиях.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</w:p>
    <w:p w:rsidR="00A2045C" w:rsidRPr="00481C6B" w:rsidRDefault="003F4AC2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налогового потенциала по единому сельскохозяйственному налогу.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единому сельскохозяйственному налогу производится с применением средней репрезентативной налоговой ставки.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Прогноз поступления доходов по единому сельскохозяйственному налогу в бюджет города на очередной финансовый год и плановый период определяется по формуле 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DC6AD87" wp14:editId="09FBE904">
            <wp:extent cx="2828925" cy="228600"/>
            <wp:effectExtent l="0" t="0" r="9525" b="0"/>
            <wp:docPr id="34" name="Рисунок 3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026F12F" wp14:editId="10FF4A6E">
            <wp:extent cx="381000" cy="228600"/>
            <wp:effectExtent l="0" t="0" r="0" b="0"/>
            <wp:docPr id="35" name="Рисунок 3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оценка прогнозируемой налоговой базы организаций, индивидуальных предпринимателей и крестьянских (фермерских) хозяйств в соответствии с главой 26.1 "Система налогообложения для сельскохозяйственных товаропроизводителей (единый сельскохозяйственный налог)" </w:t>
      </w:r>
      <w:hyperlink r:id="rId26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Налогового кодекса Российской Федерации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на очередной финансовый год и плановый период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CD713D6" wp14:editId="5220C338">
            <wp:extent cx="447675" cy="190500"/>
            <wp:effectExtent l="0" t="0" r="9525" b="0"/>
            <wp:docPr id="36" name="Рисунок 3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коэффициент, учитывающий изменение налогового законодательства, как отношение объема прогнозируемой налоговой базы на очередной финансовый год с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учетом изменения налогового законодательства на момент формирования бюджета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оценке налоговой базы на текущий финансовый год;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норматив отчислений единого сельскохозяйственного налога в бюджет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DEE2A50" wp14:editId="44DA1947">
            <wp:extent cx="438150" cy="200025"/>
            <wp:effectExtent l="0" t="0" r="0" b="9525"/>
            <wp:docPr id="37" name="Рисунок 3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средняя репрезентативная налоговая ставка в процентах. При расчете средней репрезентативной ставки налоговая база организаций, индивидуальных предпринимателей и крестьянских (фермерских) хозяйств (показатели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,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E0886F1" wp14:editId="282DB6B3">
            <wp:extent cx="419100" cy="180975"/>
            <wp:effectExtent l="0" t="0" r="0" b="9525"/>
            <wp:docPr id="38" name="Рисунок 3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CC6C146" wp14:editId="6FF188DF">
            <wp:extent cx="419100" cy="180975"/>
            <wp:effectExtent l="0" t="0" r="0" b="9525"/>
            <wp:docPr id="39" name="Рисунок 3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определяется на основе отчета Управления Федеральной налоговой службы Российской Федерации по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Иркутской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области формы 5-ЕСХН "Отчет о налоговой базе и структуре начислений по единому сельскохозяйственному налогу" по территории города за три последних отчетных финансовых года.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налогового потенциала по налогу на имущество физических лиц.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налогу на имущество физических лиц производится с применением средней репрезентативной налоговой ставки.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Прогноз поступления доходов по налогу на имущество физических лиц в бюджет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на очередной финансовый год и плановый период определяется по формуле 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01CC953" wp14:editId="0B6447CD">
            <wp:extent cx="4191000" cy="190500"/>
            <wp:effectExtent l="0" t="0" r="0" b="0"/>
            <wp:docPr id="40" name="Рисунок 4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123445D" wp14:editId="610262CC">
            <wp:extent cx="381000" cy="190500"/>
            <wp:effectExtent l="0" t="0" r="0" b="0"/>
            <wp:docPr id="41" name="Рисунок 4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оценка прогнозируемой налоговой базы по имуществу физических лиц на очередной финансовый год и плановый период рассчитывается с учетом средних темпов роста суммарной инвентаризационной стоимости имущества, принадлежащего физическим лицам на праве собственности, за два года до последнего отчетного финансового года и за последний отчетный финансовый год, на базе данных;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3952319" wp14:editId="7B703AA3">
            <wp:extent cx="447675" cy="180975"/>
            <wp:effectExtent l="0" t="0" r="9525" b="9525"/>
            <wp:docPr id="42" name="Рисунок 4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- коэффициент, учитывающий изменение налогового законодательства, рассчитывается как отношение объема прогнозируемой налоговой базы на очередной финансовый год с учетом изменения налогового законодательства на момент формирования бюджета 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</w:t>
      </w:r>
      <w:r w:rsidR="003F4A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оценке налоговой базы на текущий финансовый год; 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 - норматив отчислений налога на имущество физических лиц в бюджет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B868723" wp14:editId="12FB1060">
            <wp:extent cx="457200" cy="180975"/>
            <wp:effectExtent l="0" t="0" r="0" b="9525"/>
            <wp:docPr id="43" name="Рисунок 4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- коэффициент </w:t>
      </w:r>
      <w:proofErr w:type="spell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непроинвентаризированных</w:t>
      </w:r>
      <w:proofErr w:type="spell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строений, помещений и сооружений, принадлежащих гражданам на праве собственности, на очередной финансовый год и плановый период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4AFF15E" wp14:editId="2CCB695C">
            <wp:extent cx="457200" cy="180975"/>
            <wp:effectExtent l="0" t="0" r="0" b="9525"/>
            <wp:docPr id="44" name="Рисунок 4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- 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коэффициент роста временных инвентаризационных коэффи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циентов к уровню базовых цен 1991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года на принадлежащие физическим лицам строения и сооружения на очередной финансовый год и плановый период;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295A978" wp14:editId="1293192B">
            <wp:extent cx="476250" cy="190500"/>
            <wp:effectExtent l="0" t="0" r="0" b="0"/>
            <wp:docPr id="45" name="Рисунок 4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средняя репрезентативная налоговая ставка в процентах.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При расчете средней репрезентативной ставки в качестве налоговой базы (показатели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,</w:t>
      </w:r>
      <w:proofErr w:type="gramEnd"/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0393F6B" wp14:editId="1F42B993">
            <wp:extent cx="419100" cy="180975"/>
            <wp:effectExtent l="0" t="0" r="0" b="9525"/>
            <wp:docPr id="46" name="Рисунок 4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5DD5FDBD" wp14:editId="7574247B">
            <wp:extent cx="419100" cy="180975"/>
            <wp:effectExtent l="0" t="0" r="0" b="9525"/>
            <wp:docPr id="47" name="Рисунок 4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принимается общая инвентаризационная стоимость строений, помещений и сооружений, по которым исчислен и предъявлен к уплате налог на имущество физических лиц, на основе отчета Управления Федеральной налоговой службы Российской Федерации по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Иркутской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области формы 5-МН "Отчет о налоговой базе и структуре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начислений по налогу на имущество физических лиц" по территории города за два года до последнего отчетного финансового года и за последний отчетный финансовый год.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налогового потенциала по налогу на имущество организаций.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налогу на имущество организаций производится с применением средней репрезентативной налоговой ставки.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Прогноз поступления доходов по налогу на имущество организаций в бюджет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на очередной финансовый год и плановый период определяется по формуле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03A88750" wp14:editId="735BA8A7">
            <wp:extent cx="2752725" cy="190500"/>
            <wp:effectExtent l="0" t="0" r="9525" b="0"/>
            <wp:docPr id="48" name="Рисунок 4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E620F66" wp14:editId="32F571EE">
            <wp:extent cx="381000" cy="190500"/>
            <wp:effectExtent l="0" t="0" r="0" b="0"/>
            <wp:docPr id="49" name="Рисунок 4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оценка прогнозируемой налоговой базы организаций на очередной финансовый год и плановый период;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0D2081F1" wp14:editId="3325C328">
            <wp:extent cx="447675" cy="180975"/>
            <wp:effectExtent l="0" t="0" r="9525" b="9525"/>
            <wp:docPr id="50" name="Рисунок 5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коэффициент, учитывающий изменение налогового законодательства, как отношение объема прогнозируемой налоговой базы на очередной финансовый год с учетом изменения налогового законодательства на момент формирования бюджета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оценке налоговой базы на текущий финансовый год;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норматив отчислений налога на имущество организаций в бюджет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ABCAFBF" wp14:editId="43AF0089">
            <wp:extent cx="400050" cy="180975"/>
            <wp:effectExtent l="0" t="0" r="0" b="9525"/>
            <wp:docPr id="51" name="Рисунок 5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средняя репрезентативная налоговая ставка в процентах. При расчете средней репрезентативной ставки налоговая база (показатели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,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BB472EB" wp14:editId="44A97178">
            <wp:extent cx="419100" cy="180975"/>
            <wp:effectExtent l="0" t="0" r="0" b="9525"/>
            <wp:docPr id="52" name="Рисунок 5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372E91A" wp14:editId="5A65627C">
            <wp:extent cx="419100" cy="180975"/>
            <wp:effectExtent l="0" t="0" r="0" b="9525"/>
            <wp:docPr id="53" name="Рисунок 5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определяется на основе отчета Управления Федеральной налоговой службы Российской Федерации по 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Иркутской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области формы 5-НИО "Отчет о налоговой базе и структуре начислений по налогу на имущество организаций" по территории города за два года до последнего отчетного финансового года и за последний отчетный финансовый год.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9F75C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.Оценка налогового потенциала по земельному налогу.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земельному налогу на очередной финансовый год и плановый период производится с применением средней репрезентативной налоговой ставки по формуле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4A87315" wp14:editId="7D53E21D">
            <wp:extent cx="2905125" cy="190500"/>
            <wp:effectExtent l="0" t="0" r="9525" b="0"/>
            <wp:docPr id="59" name="Рисунок 5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6166B8C" wp14:editId="75289AD2">
            <wp:extent cx="1095375" cy="190500"/>
            <wp:effectExtent l="0" t="0" r="9525" b="0"/>
            <wp:docPr id="60" name="Рисунок 6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оценка налогового потенциала земельного налога, взимаемого по ставкам, установленным в соответствии с </w:t>
      </w:r>
      <w:hyperlink r:id="rId38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подпунктом 1 пункта 1 статьи 394 Налогового кодекса РФ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31C856A3" wp14:editId="6DB077DD">
            <wp:extent cx="1095375" cy="190500"/>
            <wp:effectExtent l="0" t="0" r="9525" b="0"/>
            <wp:docPr id="61" name="Рисунок 6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оценка налогового потенциала земельного налога, взимаемого по ставкам, установленным в соответствии с </w:t>
      </w:r>
      <w:hyperlink r:id="rId40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подпунктом 2 пункта 1 статьи 394 Налогового кодекса РФ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gramEnd"/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00466E"/>
          <w:spacing w:val="2"/>
          <w:sz w:val="28"/>
          <w:szCs w:val="28"/>
          <w:lang w:eastAsia="ru-RU"/>
        </w:rPr>
        <w:drawing>
          <wp:inline distT="0" distB="0" distL="0" distR="0" wp14:anchorId="25F35285" wp14:editId="02B18E43">
            <wp:extent cx="6191250" cy="133350"/>
            <wp:effectExtent l="0" t="0" r="0" b="0"/>
            <wp:docPr id="62" name="Рисунок 62" descr="Об утверждении Порядка расчета налогового и неналогового потенциала бюджета города Ростова-на-Дону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Об утверждении Порядка расчета налогового и неналогового потенциала бюджета города Ростова-на-Дону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00466E"/>
          <w:spacing w:val="2"/>
          <w:sz w:val="28"/>
          <w:szCs w:val="28"/>
          <w:lang w:eastAsia="ru-RU"/>
        </w:rPr>
        <w:drawing>
          <wp:inline distT="0" distB="0" distL="0" distR="0" wp14:anchorId="70AB60ED" wp14:editId="79B253F7">
            <wp:extent cx="6191250" cy="133350"/>
            <wp:effectExtent l="0" t="0" r="0" b="0"/>
            <wp:docPr id="63" name="Рисунок 63" descr="Об утверждении Порядка расчета налогового и неналогового потенциала бюджета города Ростова-на-Дону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 утверждении Порядка расчета налогового и неналогового потенциала бюджета города Ростова-на-Дону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94C22D7" wp14:editId="08E1728B">
            <wp:extent cx="1066800" cy="190500"/>
            <wp:effectExtent l="0" t="0" r="0" b="0"/>
            <wp:docPr id="64" name="Рисунок 6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BF3E934" wp14:editId="67465E42">
            <wp:extent cx="1066800" cy="190500"/>
            <wp:effectExtent l="0" t="0" r="0" b="0"/>
            <wp:docPr id="65" name="Рисунок 6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- кадастровая стоимость земельных участков, находящихся в собственности, постоянном (бессрочном) пользовании и пожизненном наследуемом владении, облагаемых земельным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налогом соответственно по ставкам, установленным </w:t>
      </w:r>
      <w:proofErr w:type="spell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пп</w:t>
      </w:r>
      <w:proofErr w:type="spell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1 и </w:t>
      </w:r>
      <w:proofErr w:type="spell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пп</w:t>
      </w:r>
      <w:proofErr w:type="spell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2 </w:t>
      </w:r>
      <w:hyperlink r:id="rId47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п. 1 ст. 394 НКРФ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19AF92C" wp14:editId="0155D5BE">
            <wp:extent cx="1057275" cy="190500"/>
            <wp:effectExtent l="0" t="0" r="9525" b="0"/>
            <wp:docPr id="66" name="Рисунок 6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,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54F59BCF" wp14:editId="6D674078">
            <wp:extent cx="1057275" cy="190500"/>
            <wp:effectExtent l="0" t="0" r="9525" b="0"/>
            <wp:docPr id="67" name="Рисунок 6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средняя репрезентативная налоговая ставка в процентах; 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D2132F5" wp14:editId="6DACA21D">
            <wp:extent cx="1143000" cy="190500"/>
            <wp:effectExtent l="0" t="0" r="0" b="0"/>
            <wp:docPr id="68" name="Рисунок 6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2D42CD2" wp14:editId="70C8388C">
            <wp:extent cx="1143000" cy="190500"/>
            <wp:effectExtent l="0" t="0" r="0" b="0"/>
            <wp:docPr id="69" name="Рисунок 69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темп роста ставок земельного налога с 1 января очередного финансового года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- </w:t>
      </w: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редневзвешенная величина, определяемая отношением суммы земельного налога по категориям земель исходя из ставок, действующих с 1 января очередного финансового года, к сумме земельного налога по категориям земель исходя из ставок, действующих с 1 января текущего финансового года.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налогового потенциала по земельному налогу корректируется с учетом количества сроков платежа по ставкам, действующим в текущем финансовом году и в очередном финансовом году.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Расчет средней репрезентативной налоговой ставки производится отдельно по ставкам, установленным подпунктами 1 и 2 </w:t>
      </w:r>
      <w:hyperlink r:id="rId52" w:history="1">
        <w:r w:rsidRPr="00481C6B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пункта 1 статьи 394 Налогового кодекса РФ</w:t>
        </w:r>
      </w:hyperlink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по формулам: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C2E3EE8" wp14:editId="2530216D">
            <wp:extent cx="5162550" cy="228600"/>
            <wp:effectExtent l="0" t="0" r="0" b="0"/>
            <wp:docPr id="70" name="Рисунок 70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27F0F97" wp14:editId="1F85E827">
            <wp:extent cx="5162550" cy="228600"/>
            <wp:effectExtent l="0" t="0" r="0" b="0"/>
            <wp:docPr id="71" name="Рисунок 71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F50EDE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F27E0E7" wp14:editId="67EBFBB8">
            <wp:extent cx="1085850" cy="228600"/>
            <wp:effectExtent l="0" t="0" r="0" b="0"/>
            <wp:docPr id="72" name="Рисунок 7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324C125" wp14:editId="14129996">
            <wp:extent cx="1085850" cy="228600"/>
            <wp:effectExtent l="0" t="0" r="0" b="0"/>
            <wp:docPr id="73" name="Рисунок 7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объем земельного налога, начисленного в текущем финансовом году, по данным массива "Расчеты с бюджетом", по ставкам, установленным на территории 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 1 января текущего финансового года, с корректировкой на количество сроков платежа (СП).</w:t>
      </w:r>
      <w:proofErr w:type="gramEnd"/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 случае проведения государственной кадастровой оценки земель в текущем финансовом году в расчет налогового потенциала земельного налога на очередной финансовый год и плановый период актуализированная кадастровая стоимость включается только после утверждения результатов государственной кадастровой оценки земель.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Уточнение расчетов налогового потенциала земельного налога производится по утвержденным результатам изменения кадастровой стоимости земельных участков, путем внесения изменений в бюджет 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поступлениям земельного налога.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2045C" w:rsidRPr="00481C6B" w:rsidRDefault="00832388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6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налогового потенциала по государственной пошлине.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Прогнозирование оценки налогового потенциала 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сельского поселения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государственной пошлине производится на основе ожидаемых поступлений в текущем финансовом году, а также прогнозируемого поступления в очередном финансовом году и плановом периоде с учетом прогнозных проектировок администраторов этих поступлений и изменений налогового законодательства, принятых на моме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нт формирования бюджета города.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неналогового потенциала доходов от сдачи в аренду муниципального имущества.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Оценка неналогового потенциала на очередной финансовый год и плановый период доходов от сдачи в аренду имущества, находящегося в оперативном управлении органов управления 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созданных ими учреждений и в хозяйственном ведении муниципальных унитарных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предприятий производится по формуле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2045C"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614580B" wp14:editId="05828F97">
            <wp:extent cx="2638425" cy="180975"/>
            <wp:effectExtent l="0" t="0" r="9525" b="9525"/>
            <wp:docPr id="82" name="Рисунок 82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</w:p>
    <w:p w:rsidR="00A2045C" w:rsidRPr="00481C6B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где </w:t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7CCB556A" wp14:editId="1F98C13D">
            <wp:extent cx="666750" cy="180975"/>
            <wp:effectExtent l="0" t="0" r="0" b="9525"/>
            <wp:docPr id="83" name="Рисунок 83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оценка неналогового потенциала доходов от сдачи в аренду нежилых помещений;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23A1335" wp14:editId="48FFAE1F">
            <wp:extent cx="828675" cy="180975"/>
            <wp:effectExtent l="0" t="0" r="9525" b="9525"/>
            <wp:docPr id="84" name="Рисунок 84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оценка неналогового потенциала доходов от сдачи в аренду имущественных комплексов.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Оценка неналогового потенциала доходов от сдачи в аренду нежилых помещений производится ДИЗО методом прямого счета по формуле</w:t>
      </w:r>
    </w:p>
    <w:p w:rsidR="00832388" w:rsidRDefault="00A2045C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3C7BB3F" wp14:editId="70672D83">
            <wp:extent cx="4219575" cy="219075"/>
            <wp:effectExtent l="0" t="0" r="9525" b="9525"/>
            <wp:docPr id="85" name="Рисунок 85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где  - прогноз общей площади муниципального нежилого фонда, предоставляемого в аренду, по отдельным j-м категориям муниципального нежилого фонда на очередной финансовый год и плановый период;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 - ставка арендной платы j-й категории муниципального нежилого фонда, сложившаяся в отчетном финансовом году;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4149DB53" wp14:editId="496FC5CF">
            <wp:extent cx="447675" cy="180975"/>
            <wp:effectExtent l="0" t="0" r="9525" b="9525"/>
            <wp:docPr id="86" name="Рисунок 86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индекс потребительских цен на текущий финансовый год согласно прогнозу социально-экономического развития Минэкономразвития РФ;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60047B0D" wp14:editId="26F18E4C">
            <wp:extent cx="447675" cy="180975"/>
            <wp:effectExtent l="0" t="0" r="9525" b="9525"/>
            <wp:docPr id="87" name="Рисунок 87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индекс потребительских цен на очередной финансовый год согласно прогнозу социально-экономического развития Минэкономразвития РФ;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1BECB4A8" wp14:editId="62DB499A">
            <wp:extent cx="657225" cy="180975"/>
            <wp:effectExtent l="0" t="0" r="9525" b="9525"/>
            <wp:docPr id="88" name="Рисунок 88" descr="Об утверждении Порядка расчета налогового и неналогового потенциала бюджета города Ростова-на-Д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Об утверждении Порядка расчета налогового и неналогового потенциала бюджета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- планируемый объем погашения недоимки прошлых лет учитывается в размере 50 процентов ее остатка по состоянию на 1 сентября текущего финансового года.</w:t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F50EDE" w:rsidRDefault="00832388" w:rsidP="00481C6B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Оценка неналогового потенциала от продажи муниципального имущества рассчитывается, администрирующим эти платежи методом прямого счета (с приложением расшифровки по объектам продаж и указанием прогнозируемой суммы продажи каждого объекта).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FE12D3" w:rsidRPr="00481C6B" w:rsidRDefault="008869C2" w:rsidP="008869C2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F50E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9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</w:t>
      </w:r>
      <w:proofErr w:type="gramStart"/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Оценка неналогового потенциала по денежным взысканиям (штрафам) и иным суммам принудительного изъятия производится на основе ожидаемого размера их поступлений в текущем финансовом году, а также прогнозируемого поступления в очередном финансовом году и плановом периоде с учетом прогнозных проектировок администраторов этих поступлений и изменений законодательства об административных правонарушениях и порядка их зачисления по уровням бюджетной системы, принятых на момент формирования бюджета</w:t>
      </w:r>
      <w:proofErr w:type="gramEnd"/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="00A2045C" w:rsidRPr="00481C6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sectPr w:rsidR="00FE12D3" w:rsidRPr="00481C6B" w:rsidSect="001B5B5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B6"/>
    <w:rsid w:val="00003F64"/>
    <w:rsid w:val="00173EB6"/>
    <w:rsid w:val="001B5B5C"/>
    <w:rsid w:val="00336FD8"/>
    <w:rsid w:val="003F4AC2"/>
    <w:rsid w:val="00481C6B"/>
    <w:rsid w:val="00724827"/>
    <w:rsid w:val="00832388"/>
    <w:rsid w:val="008869C2"/>
    <w:rsid w:val="009C62DE"/>
    <w:rsid w:val="009F0F17"/>
    <w:rsid w:val="009F75C2"/>
    <w:rsid w:val="00A2045C"/>
    <w:rsid w:val="00AE4004"/>
    <w:rsid w:val="00C821C8"/>
    <w:rsid w:val="00E60D65"/>
    <w:rsid w:val="00F20BB2"/>
    <w:rsid w:val="00F50EDE"/>
    <w:rsid w:val="00FE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docs.cntd.ru/document/901714421" TargetMode="External"/><Relationship Id="rId39" Type="http://schemas.openxmlformats.org/officeDocument/2006/relationships/image" Target="media/image30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image" Target="media/image31.jpeg"/><Relationship Id="rId47" Type="http://schemas.openxmlformats.org/officeDocument/2006/relationships/hyperlink" Target="http://docs.cntd.ru/document/901765862" TargetMode="External"/><Relationship Id="rId50" Type="http://schemas.openxmlformats.org/officeDocument/2006/relationships/image" Target="media/image37.jpeg"/><Relationship Id="rId55" Type="http://schemas.openxmlformats.org/officeDocument/2006/relationships/image" Target="media/image41.jpeg"/><Relationship Id="rId63" Type="http://schemas.openxmlformats.org/officeDocument/2006/relationships/image" Target="media/image49.jpeg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41" Type="http://schemas.openxmlformats.org/officeDocument/2006/relationships/hyperlink" Target="http://docs.cntd.ru/picture/get?id=P00240000&amp;doc_id=800003654" TargetMode="External"/><Relationship Id="rId54" Type="http://schemas.openxmlformats.org/officeDocument/2006/relationships/image" Target="media/image40.jpeg"/><Relationship Id="rId62" Type="http://schemas.openxmlformats.org/officeDocument/2006/relationships/image" Target="media/image4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docs.cntd.ru/document/901765862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hyperlink" Target="http://docs.cntd.ru/document/901765862" TargetMode="External"/><Relationship Id="rId45" Type="http://schemas.openxmlformats.org/officeDocument/2006/relationships/image" Target="media/image33.jpeg"/><Relationship Id="rId53" Type="http://schemas.openxmlformats.org/officeDocument/2006/relationships/image" Target="media/image39.jpeg"/><Relationship Id="rId58" Type="http://schemas.openxmlformats.org/officeDocument/2006/relationships/image" Target="media/image44.jpeg"/><Relationship Id="rId5" Type="http://schemas.openxmlformats.org/officeDocument/2006/relationships/hyperlink" Target="http://docs.cntd.ru/document/800003654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36.jpeg"/><Relationship Id="rId57" Type="http://schemas.openxmlformats.org/officeDocument/2006/relationships/image" Target="media/image43.jpeg"/><Relationship Id="rId61" Type="http://schemas.openxmlformats.org/officeDocument/2006/relationships/image" Target="media/image47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image" Target="media/image32.jpeg"/><Relationship Id="rId52" Type="http://schemas.openxmlformats.org/officeDocument/2006/relationships/hyperlink" Target="http://docs.cntd.ru/document/901765862" TargetMode="External"/><Relationship Id="rId60" Type="http://schemas.openxmlformats.org/officeDocument/2006/relationships/image" Target="media/image46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hyperlink" Target="http://docs.cntd.ru/picture/get?id=P00260000&amp;doc_id=800003654" TargetMode="External"/><Relationship Id="rId48" Type="http://schemas.openxmlformats.org/officeDocument/2006/relationships/image" Target="media/image35.jpeg"/><Relationship Id="rId56" Type="http://schemas.openxmlformats.org/officeDocument/2006/relationships/image" Target="media/image42.jpeg"/><Relationship Id="rId64" Type="http://schemas.openxmlformats.org/officeDocument/2006/relationships/fontTable" Target="fontTable.xml"/><Relationship Id="rId8" Type="http://schemas.openxmlformats.org/officeDocument/2006/relationships/hyperlink" Target="http://docs.cntd.ru/document/901765862" TargetMode="External"/><Relationship Id="rId51" Type="http://schemas.openxmlformats.org/officeDocument/2006/relationships/image" Target="media/image38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hyperlink" Target="http://docs.cntd.ru/document/901765862" TargetMode="External"/><Relationship Id="rId46" Type="http://schemas.openxmlformats.org/officeDocument/2006/relationships/image" Target="media/image34.jpeg"/><Relationship Id="rId59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2836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16</cp:revision>
  <cp:lastPrinted>2015-06-24T07:37:00Z</cp:lastPrinted>
  <dcterms:created xsi:type="dcterms:W3CDTF">2015-06-22T09:08:00Z</dcterms:created>
  <dcterms:modified xsi:type="dcterms:W3CDTF">2015-07-06T07:42:00Z</dcterms:modified>
</cp:coreProperties>
</file>